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20.08.2025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center"/>
        <w:ind w:left="0" w:right="0" w:firstLine="0"/>
        <w:spacing w:after="60"/>
      </w:pPr>
      <w:r>
        <w:rPr>
          <w:sz w:val="24"/>
          <w:szCs w:val="24"/>
          <w:caps/>
        </w:rPr>
        <w:t xml:space="preserve">УКАЗ </w:t>
      </w:r>
      <w:r>
        <w:rPr>
          <w:sz w:val="24"/>
          <w:szCs w:val="24"/>
          <w:caps/>
        </w:rPr>
        <w:t xml:space="preserve">ПРЕЗИДЕНТА РЕСПУБЛИКИ БЕЛАРУСЬ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17 января 2025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31</w:t>
      </w:r>
    </w:p>
    <w:p>
      <w:pPr>
        <w:spacing w:before="240" w:after="240"/>
      </w:pPr>
      <w:r>
        <w:rPr>
          <w:sz w:val="28"/>
          <w:szCs w:val="28"/>
          <w:b/>
          <w:bCs/>
        </w:rPr>
        <w:t xml:space="preserve">О пятилетке качества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целях дальнейшего повышения качества жизни людей, конкурентоспособности отечественных товаров (работ, услуг), развития экономического потенциала страны, совершенствования социальных отношений </w:t>
      </w:r>
      <w:r>
        <w:rPr>
          <w:sz w:val="24"/>
          <w:szCs w:val="24"/>
        </w:rPr>
        <w:t xml:space="preserve">постановляю: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Объявить в Республике Беларусь в 2025–2029 годах пятилетку качества.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Под пятилеткой качества для целей настоящего Указа понимаются всесторонние преобразования, направленные на достижение высоких стандартов качества жизни людей, рост благосостояния общества, повышение эффективности экономики и управленческой деятельности, оптимизацию производственных процессов, улучшение характеристик товаров (работ, услуг).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Задачи пятилетки качества решаются совместными усилиями государственных органов, организаций всех форм собственности и граждан и включают: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3.1. в экономике: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существенный рост производительности труда;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создание новых современных предприятий и производств;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устойчивой положительной динамики показателей социально-экономического развития;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наращивание экспорта, в том числе за счет увеличения доли продукции глубокой переработки и высокотехнологичных услуг;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цифровую трансформацию;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применение инновационных технологий, обеспечение технологического суверенитета;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рациональное использование ресурсов;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соответствие характеристик товаров (работ, услуг) растущим запросам потребителей;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внедрение эффективного маркетинга, повышение узнаваемости отечественных торговых марок;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совершенствование контроля качества;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повышение уровня подготовки и конкурентоспособности кадров для работы в условиях современных экономических вызовов;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расширение практики государственно-частного партнерства;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3.2. в организации жизнедеятельности людей: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рост доходов населения, соответствующий росту выручки в экономике;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применение справедливой системы ценообразования и контроль над инфляцией за счет эффективной работы со всеми видами затрат;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создание условий для самореализации личности;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доступности и высоких стандартов образования, медицинской и социальной помощи;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улучшение условий труда работников;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дальнейшее продвижение принципов здорового образа жизни;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совершенствование гарантий социальной защиты;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обновление системы государственных социальных стандартов, особенно для жителей сельской местности;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наведение порядка на земле, благоустройство территорий;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жилищно-коммунальной, транспортной инфраструктуры, телекоммуникаций;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формирование экологически ответственного поведения в стране;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дебюрократизацию, снижение административной нагрузки на граждан и бизнес;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3.3. в социальных отношениях: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повышение рождаемости и улучшение демографического потенциала;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укрепление института семьи, традиционных нравственных ценностей, патриотизма;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поддержание общенационального диалога;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конструктивное развитие гражданского общества, стимулирование реализации гражданских инициатив;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повышение политической культуры, дальнейшее формирование понимания личной ответственности граждан за общий результат, за сохранение независимости страны;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3.4. в области права: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стабильность правового регулирования;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дальнейшую систематизацию законодательства;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повышение уровня правовой культуры.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Совету Министров Республики Беларусь совместно с облисполкомами, Минским горисполкомом предусмотреть мероприятия по достижению задач пятилетки качества в программах (планах) развития Республики Беларусь, отраслей экономики, регионов.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 Настоящий Указ вступает в силу после его официального опубликования.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2500" w:type="dxa"/>
        <w:gridCol w:w="250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2500" w:type="pct"/>
            <w:vAlign w:val="bottom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Президент Республики Беларусь</w:t>
            </w:r>
          </w:p>
        </w:tc>
        <w:tc>
          <w:tcPr>
            <w:tcW w:w="2500" w:type="pct"/>
            <w:vAlign w:val="bottom"/>
            <w:vMerge w:val="restart"/>
          </w:tcPr>
          <w:p>
            <w:pPr>
              <w:jc w:val="righ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А.Лукашенко</w:t>
            </w:r>
          </w:p>
        </w:tc>
      </w:tr>
    </w:tbl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2025-08-20T18:05:01+03:00</dcterms:created>
  <dcterms:modified xsi:type="dcterms:W3CDTF">2025-08-20T18:05:01+03:00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