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26 февраля 2021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117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Государственной программе «Увековечение памяти о погибших при защите Отечества» на 2021–2025 годы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29 декабря 2023 г. № 978 (Национальный правовой Интернет-портал Республики Беларусь, 06.01.2024, 5/52649)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10 декабря 2024 г. № 943 (Национальный правовой Интернет-портал Республики Беларусь, 13.12.2024, 5/54306)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подпункта 22.2 пункта 22 Положения об увековечении памяти о погибших при защите Отечества и сохранении памяти о жертвах войн, утвержденного Указом Президента Республики Беларусь от 24 марта 2016 г. № 109,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Государственную программу «Увековечение памяти о погибших при защите Отечества» на 2021–2025 годы (далее – Государственная программа)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Определить: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ответственным заказчиком Государственной программы – Министерство обороны;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заказчиками Государственной программы – Министерство обороны, облисполкомы и Минский горисполком.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Установить персональную ответственность Министра обороны за достижение сводного целевого показателя Государственной программы, Министра обороны, председателей облисполкомов и Минского горисполкома – соответствующих целевых показателей.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Настоящее постановление вступает в силу после его официального опубликования и распространяет свое действие на отношения, возникшие с 1 января 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Р.Головченко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26.02.2021 № 117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ГОСУДАРСТВЕННАЯ ПРОГРАММА</w:t>
      </w:r>
      <w:br/>
      <w:r>
        <w:rPr>
          <w:sz w:val="24"/>
          <w:szCs w:val="24"/>
          <w:b/>
          <w:bCs/>
        </w:rPr>
        <w:t xml:space="preserve">«Увековечение памяти о погибших при защите Отечества» на 2021–2025 годы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программа подготовлена на основании подпункта 23.2 пункта 23 Положения об увековечении памяти о погибших при защите Отечества и сохранении памяти о жертвах войн.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Государственной программы используются термины и их определения в значениях, установленных в Положении об увековечении памяти о погибших при защите Отечества и сохранении памяти о жертвах войн.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Государственной программы будет способствовать сохранению военно-исторического наследия белорусского народа, гражданско-патриотическому воспитанию, выполнению международных соглашений в военно-мемориальной сфере и задач по приоритетным направлениям социально-экономического развития Республики Беларусь на 2021–2025 годы в области создания возможностей для развития и самореализации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истории Беларуси значительная военная составляющая обусловлена географическим положением государства. Наиболее глубокие следы на нашей земле оставили война 1812 года, Первая мировая и Великая Отечественная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Память о павших в борьбе за свободу и независимость Беларуси, о жертвах фашизма является важной составляющей самосознания нашего народа. Бережное отношение к такой памяти стало частью национальной идеи.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настоящее время на государственном учете в Республике Беларусь состоит более 7,9 тыс. воинских захоронений и захоронений жертв войн (далее – захоронения погибших в ходе войн) различных исторических периодов, в которых захоронено более 2 млн. погибших. В паспорта захоронений погибших в ходе войн внесены сведения о 529 тыс. захороненных, более 1 млн. 500 тыс. числятся как «неизвестные».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Поисковая работа осложняется отсутствием архивных документов, содержащих персональные данные жертв войн, большим количеством военнослужащих Красной Армии, пропавших без вести во время оборонительных боев 1941 года, и масштабными работами по укрупнению воинских захоронений, проводившимися в послевоенные годы, в ходе которых было утрачено большое количество персональных данных о погибших.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Сводный целевой показатель Государственной программы – доля погибших при защите Отечества и жертв войн, увековеченных в соответствии с законодательством, рассчитывается исходя из: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количества персональных данных о погибших в ходе войн, учтенных в паспортах захоронений;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количества персональных данных о погибших, внесенных в автоматизированный банк данных «Книга Памяти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2015–2019 годах местными исполнительными и распорядительными органами на ремонт и благоустройство захоронений погибших в ходе войн из средств местных бюджетов и иных источников было выделено более 20 млн. рублей.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Большое количество индивидуальных захоронений погибших в ходе войн, в первую очередь расположенных на общественных кладбищах, по внешнему виду не отличаются от окружающих их захоронений, малоинформативны и не отвечают основной задаче – формированию уважительного отношения к погибшим при защите Отечества, их мужеству и героизму. Приведение таких захоронений в надлежащее состояние требует значительных затрат финансовых средств.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расчета потребности в финансовых средствах на поддержание захоронений погибших в ходе войн в надлежащем состоянии в среднесрочной перспективе в 2020 году проведена их оценка по трем категориям: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1-я категория – захоронения, не требующие значительных вложений финансовых средств;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2-я категория – захоронения, требующие текущего ремонта;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3-я категория – захоронения, требующие капитального ремонта.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/>
        <w:gridCol/>
        <w:gridCol w:w="1092" w:type="dxa"/>
        <w:gridCol w:w="1084" w:type="dxa"/>
        <w:gridCol w:w="908" w:type="dxa"/>
      </w:tblGrid>
      <w:tblPr>
        <w:tblW w:w="5000" w:type="pct"/>
        <w:tblLayout w:type="autofit"/>
      </w:tblPr>
      <w:tr>
        <w:trPr/>
        <w:tc>
          <w:tcPr>
            <w:tcW w:w="1227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Регион</w:t>
            </w:r>
          </w:p>
        </w:tc>
        <w:tc>
          <w:tcPr>
            <w:tcW w:w="689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Количество захоронений</w:t>
            </w:r>
          </w:p>
        </w:tc>
        <w:tc>
          <w:tcPr>
            <w:tcW w:w="3084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3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Состояние захоронений</w:t>
            </w:r>
          </w:p>
        </w:tc>
      </w:tr>
      <w:tr>
        <w:trPr/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1092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1-я категория</w:t>
            </w:r>
          </w:p>
        </w:tc>
        <w:tc>
          <w:tcPr>
            <w:tcW w:w="1084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2-я категория</w:t>
            </w:r>
          </w:p>
        </w:tc>
        <w:tc>
          <w:tcPr>
            <w:tcW w:w="908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3-я категория</w:t>
            </w:r>
          </w:p>
        </w:tc>
      </w:tr>
      <w:tr>
        <w:trPr/>
        <w:tc>
          <w:tcPr>
            <w:tcW w:w="1227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Брестская область</w:t>
            </w:r>
          </w:p>
        </w:tc>
        <w:tc>
          <w:tcPr>
            <w:tcW w:w="689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946</w:t>
            </w:r>
          </w:p>
        </w:tc>
        <w:tc>
          <w:tcPr>
            <w:tcW w:w="1092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686</w:t>
            </w:r>
          </w:p>
        </w:tc>
        <w:tc>
          <w:tcPr>
            <w:tcW w:w="1084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249</w:t>
            </w:r>
          </w:p>
        </w:tc>
        <w:tc>
          <w:tcPr>
            <w:tcW w:w="908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122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Витебская область</w:t>
            </w:r>
          </w:p>
        </w:tc>
        <w:tc>
          <w:tcPr>
            <w:tcW w:w="68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1491</w:t>
            </w:r>
          </w:p>
        </w:tc>
        <w:tc>
          <w:tcPr>
            <w:tcW w:w="10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902</w:t>
            </w:r>
          </w:p>
        </w:tc>
        <w:tc>
          <w:tcPr>
            <w:tcW w:w="108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548</w:t>
            </w:r>
          </w:p>
        </w:tc>
        <w:tc>
          <w:tcPr>
            <w:tcW w:w="90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41</w:t>
            </w:r>
          </w:p>
        </w:tc>
      </w:tr>
      <w:tr>
        <w:trPr/>
        <w:tc>
          <w:tcPr>
            <w:tcW w:w="122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Гомельская область</w:t>
            </w:r>
          </w:p>
        </w:tc>
        <w:tc>
          <w:tcPr>
            <w:tcW w:w="68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1119</w:t>
            </w:r>
          </w:p>
        </w:tc>
        <w:tc>
          <w:tcPr>
            <w:tcW w:w="10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473</w:t>
            </w:r>
          </w:p>
        </w:tc>
        <w:tc>
          <w:tcPr>
            <w:tcW w:w="108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593</w:t>
            </w:r>
          </w:p>
        </w:tc>
        <w:tc>
          <w:tcPr>
            <w:tcW w:w="90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53</w:t>
            </w:r>
          </w:p>
        </w:tc>
      </w:tr>
      <w:tr>
        <w:trPr/>
        <w:tc>
          <w:tcPr>
            <w:tcW w:w="122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Гродненская область</w:t>
            </w:r>
          </w:p>
        </w:tc>
        <w:tc>
          <w:tcPr>
            <w:tcW w:w="68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753</w:t>
            </w:r>
          </w:p>
        </w:tc>
        <w:tc>
          <w:tcPr>
            <w:tcW w:w="10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443</w:t>
            </w:r>
          </w:p>
        </w:tc>
        <w:tc>
          <w:tcPr>
            <w:tcW w:w="108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302</w:t>
            </w:r>
          </w:p>
        </w:tc>
        <w:tc>
          <w:tcPr>
            <w:tcW w:w="90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</w:t>
            </w:r>
          </w:p>
        </w:tc>
      </w:tr>
      <w:tr>
        <w:trPr/>
        <w:tc>
          <w:tcPr>
            <w:tcW w:w="122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Минская область</w:t>
            </w:r>
          </w:p>
        </w:tc>
        <w:tc>
          <w:tcPr>
            <w:tcW w:w="68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1846</w:t>
            </w:r>
          </w:p>
        </w:tc>
        <w:tc>
          <w:tcPr>
            <w:tcW w:w="10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1442</w:t>
            </w:r>
          </w:p>
        </w:tc>
        <w:tc>
          <w:tcPr>
            <w:tcW w:w="108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357</w:t>
            </w:r>
          </w:p>
        </w:tc>
        <w:tc>
          <w:tcPr>
            <w:tcW w:w="90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47</w:t>
            </w:r>
          </w:p>
        </w:tc>
      </w:tr>
      <w:tr>
        <w:trPr/>
        <w:tc>
          <w:tcPr>
            <w:tcW w:w="122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Могилевская область</w:t>
            </w:r>
          </w:p>
        </w:tc>
        <w:tc>
          <w:tcPr>
            <w:tcW w:w="689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1641</w:t>
            </w:r>
          </w:p>
        </w:tc>
        <w:tc>
          <w:tcPr>
            <w:tcW w:w="10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985</w:t>
            </w:r>
          </w:p>
        </w:tc>
        <w:tc>
          <w:tcPr>
            <w:tcW w:w="108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492</w:t>
            </w:r>
          </w:p>
        </w:tc>
        <w:tc>
          <w:tcPr>
            <w:tcW w:w="90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164</w:t>
            </w:r>
          </w:p>
        </w:tc>
      </w:tr>
      <w:tr>
        <w:trPr/>
        <w:tc>
          <w:tcPr>
            <w:tcW w:w="1227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Город Минск</w:t>
            </w:r>
          </w:p>
        </w:tc>
        <w:tc>
          <w:tcPr>
            <w:tcW w:w="689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118</w:t>
            </w:r>
          </w:p>
        </w:tc>
        <w:tc>
          <w:tcPr>
            <w:tcW w:w="1092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118</w:t>
            </w:r>
          </w:p>
        </w:tc>
        <w:tc>
          <w:tcPr>
            <w:tcW w:w="1084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90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</w:tr>
      <w:tr>
        <w:trPr/>
        <w:tc>
          <w:tcPr>
            <w:tcW w:w="1227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ind w:left="282.96462942132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Итого</w:t>
            </w:r>
          </w:p>
        </w:tc>
        <w:tc>
          <w:tcPr>
            <w:tcW w:w="689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7914</w:t>
            </w:r>
          </w:p>
        </w:tc>
        <w:tc>
          <w:tcPr>
            <w:tcW w:w="1092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5049 (63,8 процента)</w:t>
            </w:r>
          </w:p>
        </w:tc>
        <w:tc>
          <w:tcPr>
            <w:tcW w:w="1084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2541 (32,1 процента)</w:t>
            </w:r>
          </w:p>
        </w:tc>
        <w:tc>
          <w:tcPr>
            <w:tcW w:w="908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324 (4,1 процента)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оценкам местных исполнительных и распорядительных органов, минимальная потребность в финансовых средствах на поддержание захоронений погибших в ходе войн в надлежащем состоянии до 2025 года составляет более 8,7 млн. рублей.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Одним из важных направлений деятельности в сфере увековечения погибших при защите Отечества является поисковая работа, основанная на изучении архивных документов, связанных с безвозвратными потерями военнослужащих периодов Первой мировой и Великой Отечественной войн, переносом воинских захоронений в послевоенные годы, проведением полевых поисковых работ.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архивно-исследовательских работ, проводившихся в 2015–2019 годах, установлены и внесены в автоматизированный банк данных «Книга Памяти Республики Беларусь», а также в паспорта воинских захоронений данные о 40 тыс. погибших, ранее считавшихся пропавшими без вести.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соответствии со сводным целевым показателем за 5 лет реализации Государственной программы будут установлены и увековечены в паспортах захоронений погибших в ходе войн и в автоматизированном банке данных «Книга Памяти Республики Беларусь» сведения о более 32 тыс. погибших.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2015 по 2019 год полевые поисковые работы проведены на 430 поисковых объектах. По результатам проведения таких работ обнаружены и перезахоронены останки 13 тыс. погибших в ходе войн. По сопутствующим находкам и другим документам удалось установить сведения о более 1 тыс. погибших.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соответствии с целевыми показателями Государственной программы до 2025 года по результатам архивно-исследовательских работ будет выявлено и включено в планы проведения полевых поисковых работ 400 неучтенных захоронений погибших в ходе войн.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полевых поисковых работ предполагается обнаружить и торжественно захоронить останки 6 тыс. погибших.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Значительное сокращение предполагаемого количества останков погибших обусловлено тем, что в 2015–2019 годах полевые поисковые работы проводились на местах массового уничтожения военнопленных в городах Борисове, Бресте, Гродно, Минске, где были обнаружены останки более 7 тыс. погибших.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Государственной программе введены новые целевые показатели, связанные с оценкой качественного состояния захоронений погибших в ходе войн и предоставлением свободного доступа к информации о погибших посредством размещения в глобальной компьютерной сети Интернет районных автоматизированных банков данных «Книга Памяти».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Государственной программы реализуется ряд международных соглашений в военно-мемориальной сфере, в первую очередь Соглашение об увековечении памяти о мужестве и героизме народов государств – участников Содружества Независимых Государств в Великой Отечественной войне 1941–1945 годов, подписанное в г. Душанбе 3 сентября 2011 года.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ЦЕЛЬ, ЗАДАЧИ И СТРУКТУРА ГОСУДАРСТВЕННОЙ ПРОГРАММЫ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Цель Государственной программы – увековечение погибших при защите Отечества и сохранение памяти о жертвах войн.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Ответственный заказчик Государственной программы – Министерство обороны, заказчики – Министерство обороны, облисполкомы и Минский горисполком.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Достижение указанной цели обеспечивается решением следующих задач: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задача 1. Государственный учет и содержание в надлежащем состоянии воинских захоронений и захоронений жертв войн;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задача 2. Организация и проведение поисковой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задача 3. Предоставление свободного доступа к информации о погибших при защите Отечества и жертвах войн, местах их захоронения.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Проверка и подтверждение достижения цели и решения задач Государственной программы обеспечиваются системой сводного целевого показателя и целевых показателей согласно приложению 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задач Государственной программы обеспечивается выполнением комплекса мероприятий согласно приложению 2.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ФИНАНСОВОЕ ОБЕСПЕЧЕНИЕ ГОСУДАРСТВЕННОЙ ПРОГРАММЫ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Источниками финансирования мероприятий Государственной программы являются средства республиканского и местных бюджетов, собственные средства заказчиков, а также иные источники, не запрещенные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реализацию мероприятий Государственной программы потребуются финансовые средства в размере 13 792 622,5 рубля, в том числе: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республиканский бюджет – 225 049 рублей;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местные бюджеты – 13 267 358,5 рубля;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собственные средства исполнителей мероприятий, не являющихся бюджетными организациями (далее – собственные средства исполнителей), – 171 500 рублей;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безвозмездная (спонсорская) помощь, пожертвования (далее – спонсорская помощь) – 128 715 рублей.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Потребность в денежных средствах по годам следующая: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ind w:left="0" w:right="0" w:firstLine="0"/>
        <w:spacing w:after="60"/>
      </w:pPr>
      <w:r>
        <w:rPr>
          <w:sz w:val="20"/>
          <w:szCs w:val="20"/>
        </w:rPr>
        <w:t xml:space="preserve">(рублей)</w:t>
      </w:r>
    </w:p>
    <w:tbl>
      <w:tblGrid>
        <w:gridCol w:w="1515" w:type="dxa"/>
        <w:gridCol w:w="697" w:type="dxa"/>
        <w:gridCol w:w="697" w:type="dxa"/>
        <w:gridCol w:w="697" w:type="dxa"/>
        <w:gridCol w:w="697" w:type="dxa"/>
        <w:gridCol w:w="697" w:type="dxa"/>
      </w:tblGrid>
      <w:tblPr>
        <w:tblW w:w="5000" w:type="pct"/>
        <w:tblLayout w:type="autofit"/>
      </w:tblPr>
      <w:tr>
        <w:trPr/>
        <w:tc>
          <w:tcPr>
            <w:tcW w:w="1515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Источники финансирования</w:t>
            </w:r>
          </w:p>
        </w:tc>
        <w:tc>
          <w:tcPr>
            <w:tcW w:w="69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2021 год</w:t>
            </w:r>
          </w:p>
        </w:tc>
        <w:tc>
          <w:tcPr>
            <w:tcW w:w="69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2022 год</w:t>
            </w:r>
          </w:p>
        </w:tc>
        <w:tc>
          <w:tcPr>
            <w:tcW w:w="69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2023 год</w:t>
            </w:r>
          </w:p>
        </w:tc>
        <w:tc>
          <w:tcPr>
            <w:tcW w:w="69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2024 год</w:t>
            </w:r>
          </w:p>
        </w:tc>
        <w:tc>
          <w:tcPr>
            <w:tcW w:w="697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2025 год</w:t>
            </w:r>
          </w:p>
        </w:tc>
      </w:tr>
      <w:tr>
        <w:trPr/>
        <w:tc>
          <w:tcPr>
            <w:tcW w:w="1515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46 340,0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42 620,0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39 919,0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47 530,0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48 640,0</w:t>
            </w:r>
          </w:p>
        </w:tc>
      </w:tr>
      <w:tr>
        <w:trPr/>
        <w:tc>
          <w:tcPr>
            <w:tcW w:w="1515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2 080 251,0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1 667 847,0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3 850 184,2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3 934 005,3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1 735 071,0</w:t>
            </w:r>
          </w:p>
        </w:tc>
      </w:tr>
      <w:tr>
        <w:trPr/>
        <w:tc>
          <w:tcPr>
            <w:tcW w:w="1515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Собственные средства исполнителей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697" w:type="pct"/>
            <w:vAlign w:val="bottom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</w:tr>
      <w:tr>
        <w:trPr/>
        <w:tc>
          <w:tcPr>
            <w:tcW w:w="1515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Спонсорская помощь</w:t>
            </w:r>
          </w:p>
        </w:tc>
        <w:tc>
          <w:tcPr>
            <w:tcW w:w="697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29 300,0</w:t>
            </w:r>
          </w:p>
        </w:tc>
        <w:tc>
          <w:tcPr>
            <w:tcW w:w="697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30 730,0</w:t>
            </w:r>
          </w:p>
        </w:tc>
        <w:tc>
          <w:tcPr>
            <w:tcW w:w="697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32 055,0</w:t>
            </w:r>
          </w:p>
        </w:tc>
        <w:tc>
          <w:tcPr>
            <w:tcW w:w="697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460,0</w:t>
            </w:r>
          </w:p>
        </w:tc>
        <w:tc>
          <w:tcPr>
            <w:tcW w:w="697" w:type="pct"/>
            <w:vAlign w:val="bottom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36 170,0</w:t>
            </w:r>
          </w:p>
        </w:tc>
      </w:tr>
      <w:tr>
        <w:trPr/>
        <w:tc>
          <w:tcPr>
            <w:tcW w:w="1515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Итого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2 193 591,0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1 778 897,0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3 959 858,2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4 002 695,3</w:t>
            </w:r>
          </w:p>
        </w:tc>
        <w:tc>
          <w:tcPr>
            <w:tcW w:w="697" w:type="pct"/>
            <w:vAlign w:val="bottom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1 857 581,0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Планируемые объемы и источники финансирования комплекса мероприятий Государственной программы по заказчикам устанавливаются согласно приложению 3.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ОСНОВНЫЕ РИСКИ ПРИ ВЫПОЛНЕНИИ ГОСУДАРСТВЕННОЙ ПРОГРАММЫ. МЕХАНИЗМЫ УПРАВЛЕНИЯ РИСКАМИ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Основные риски при выполнении Государственной программы связаны с обеспечением сохранности и поддержанием в надлежащем состоянии захоронений погибших в ходе войн, утратой неучтенных воинских захоронений в связи с освоением земель, на которых велись боевые действия и осуществлялось первичное захоронение погибших, снижением интереса молодежи к событиям военной истории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Факторами, способными оказать негативное влияние на выполнение Государственной программы, могут стать: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сокращение количества сельских населенных пунктов и переселение сельских жителей в агрогородки;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ухудшение эпидемиологической ситуации;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сокращение объемов финансирования, выделяемых на обустройство, содержание, текущий и капитальный ремонт, реконструкцию воинских захоронений и захоронений жертв войн, мемориальных комплексов, мест боевой и воинской славы;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изменение международной обстановки, способное оказать негативное влияние на выполнение международных соглашений в военно-мемориальной сфере;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закрытие в порядке, установленном в законодательстве о погребении и похоронном деле, общественных кладбищ, на которых находятся состоящие на государственном учете захоронения погибших в ходе войн;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трудности, связанные с проведением полевых поисковых работ и поддержанием в надлежащем состоянии захоронений погибших в ходе войн в зонах отселения и отчуждения.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предотвращения негативных факторов при выполнении Государственной программы предусмотрены следующие механизмы по управлению рисками: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активное взаимодействие с общественными объединениями и гражданами по организации поисковой работы, расширение практики участия членов общественных объединений и граждан в проведении полевых поисковых работ;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мероприятий по замене памятников на захоронениях погибших в ходе войн, расположенных на общественных кладбищах и пришедших в неудовлетворительное состояние, с привлечением специализированных организаций, в ведении которых находятся кладбища, а там, где такие организации не созданы, – иных организаций, выбранных в установленном порядке заказчиком;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перенос в установленном порядке индивидуальных могил, находящихся в отдаленных и труднодоступных местах;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архивно-исследовательских работ по установлению мест нахождения неучтенных воинских захоронений на территориях, подлежащих застройке;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привлечение спонсорских средств для текущего и капитального ремонта надмогильных сооружений на захоронениях погибших в ходе войн.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МЕТОДИКА ОЦЕНКИ ЭФФЕКТИВНОСТИ РЕАЛИЗАЦИИ ГОСУДАРСТВЕННОЙ ПРОГРАММЫ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Оценка эффективности реализации Государственной программы осуществляется ежегодно. Результаты такой оценки представляются в составе годового отчета ответственного заказчика о ходе реализации Государственной программы. В годовом отчете также оценивается степень выполнения мероприятий методом экспертной оценки.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Оценка эффективности реализации Государственной программы осуществляется в четыре этапа.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первом этапе оценивается степень достижения плановых значений целевых показателей и сводного целевого показателя по формуле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72.75pt; height:33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i/>
          <w:iCs/>
        </w:rPr>
        <w:t xml:space="preserve">SD</w:t>
      </w:r>
      <w:r>
        <w:rPr>
          <w:sz w:val="24"/>
          <w:szCs w:val="24"/>
        </w:rPr>
        <w:t xml:space="preserve">1</w:t>
      </w:r>
      <w:r>
        <w:rPr>
          <w:sz w:val="24"/>
          <w:szCs w:val="24"/>
          <w:i/>
          <w:iCs/>
        </w:rPr>
        <w:t xml:space="preserve">-n</w:t>
      </w:r>
      <w:r>
        <w:rPr>
          <w:sz w:val="24"/>
          <w:szCs w:val="24"/>
        </w:rPr>
        <w:t xml:space="preserve"> – степень достижения планового значения сводного целевого показателя (целевого показателя) Государственной программы;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CPf</w:t>
      </w:r>
      <w:r>
        <w:rPr>
          <w:sz w:val="24"/>
          <w:szCs w:val="24"/>
        </w:rPr>
        <w:t xml:space="preserve"> – значение сводного целевого показателя (целевого показателя), фактически достигнутое на конец отчетного периода;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CPр </w:t>
      </w:r>
      <w:r>
        <w:rPr>
          <w:sz w:val="24"/>
          <w:szCs w:val="24"/>
        </w:rPr>
        <w:t xml:space="preserve">– плановое значение сводного целевого показателя (целевого показателя).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значение </w:t>
      </w:r>
      <w:r>
        <w:rPr>
          <w:sz w:val="24"/>
          <w:szCs w:val="24"/>
          <w:i/>
          <w:iCs/>
        </w:rPr>
        <w:t xml:space="preserve">SD</w:t>
      </w:r>
      <w:r>
        <w:rPr>
          <w:sz w:val="24"/>
          <w:szCs w:val="24"/>
        </w:rPr>
        <w:t xml:space="preserve">1</w:t>
      </w:r>
      <w:r>
        <w:rPr>
          <w:sz w:val="24"/>
          <w:szCs w:val="24"/>
          <w:i/>
          <w:iCs/>
        </w:rPr>
        <w:t xml:space="preserve">-n</w:t>
      </w:r>
      <w:r>
        <w:rPr>
          <w:sz w:val="24"/>
          <w:szCs w:val="24"/>
        </w:rPr>
        <w:t xml:space="preserve"> больше 1, при расчете степени достижения планового значения целевых показателей и сводного целевого показателя, характеризующего цель Государственной программы, оно принимается равным 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втором этапе оценивается степень достижения цели Государственной программы по формуле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136.5pt; height:30.7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где  </w:t>
      </w:r>
      <w:r>
        <w:rPr>
          <w:sz w:val="24"/>
          <w:szCs w:val="24"/>
          <w:i/>
          <w:iCs/>
        </w:rPr>
        <w:t xml:space="preserve">SD</w:t>
      </w:r>
      <w:r>
        <w:rPr>
          <w:sz w:val="24"/>
          <w:szCs w:val="24"/>
        </w:rPr>
        <w:t xml:space="preserve"> – степень достижения планового значения целевых показателей и сводного целевого показателя Государственной программы;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n</w:t>
      </w:r>
      <w:r>
        <w:rPr>
          <w:sz w:val="24"/>
          <w:szCs w:val="24"/>
        </w:rPr>
        <w:t xml:space="preserve"> – количество сводного и целевых показателей Государственной программы.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третьем этапе определяется степень соответствия фактического объема финансирования Государственной программы запланированному объему финансирования по формуле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51.75pt; height:33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где  СС – степень соответствия фактического объема финансирования Государственной программы запланированному объему финансирования;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Ff </w:t>
      </w:r>
      <w:r>
        <w:rPr>
          <w:sz w:val="24"/>
          <w:szCs w:val="24"/>
        </w:rPr>
        <w:t xml:space="preserve">– фактический объем финансирования Государственной программы в отчетном году;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Fр</w:t>
      </w:r>
      <w:r>
        <w:rPr>
          <w:sz w:val="24"/>
          <w:szCs w:val="24"/>
        </w:rPr>
        <w:t xml:space="preserve"> – плановый объем финансирования Государственной программы в отчетном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значение СС больше 1, при расчете степени соответствия фактического объема финансирования Государственной программы запланированному объему оно принимается равным 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четвертом этапе определяется эффективность реализации Государственной программы по формуле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45.75pt; height:30.7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где    </w:t>
      </w:r>
      <w:r>
        <w:rPr>
          <w:sz w:val="24"/>
          <w:szCs w:val="24"/>
          <w:i/>
          <w:iCs/>
        </w:rPr>
        <w:t xml:space="preserve">Е</w:t>
      </w:r>
      <w:r>
        <w:rPr>
          <w:sz w:val="24"/>
          <w:szCs w:val="24"/>
        </w:rPr>
        <w:t xml:space="preserve"> – эффективность реализации Государственной программы в отчетном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Эффективность реализации Государственной программы признается: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высокой, если значение </w:t>
      </w:r>
      <w:r>
        <w:rPr>
          <w:sz w:val="24"/>
          <w:szCs w:val="24"/>
          <w:i/>
          <w:iCs/>
        </w:rPr>
        <w:t xml:space="preserve">E</w:t>
      </w:r>
      <w:r>
        <w:rPr>
          <w:sz w:val="24"/>
          <w:szCs w:val="24"/>
        </w:rPr>
        <w:t xml:space="preserve"> составляет не менее 0,9;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удовлетворительной, если значение </w:t>
      </w:r>
      <w:r>
        <w:rPr>
          <w:sz w:val="24"/>
          <w:szCs w:val="24"/>
          <w:i/>
          <w:iCs/>
        </w:rPr>
        <w:t xml:space="preserve">E</w:t>
      </w:r>
      <w:r>
        <w:rPr>
          <w:sz w:val="24"/>
          <w:szCs w:val="24"/>
        </w:rPr>
        <w:t xml:space="preserve"> составляет от 0,8 до 0,9;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низкой, если значение </w:t>
      </w:r>
      <w:r>
        <w:rPr>
          <w:sz w:val="24"/>
          <w:szCs w:val="24"/>
          <w:i/>
          <w:iCs/>
        </w:rPr>
        <w:t xml:space="preserve">E</w:t>
      </w:r>
      <w:r>
        <w:rPr>
          <w:sz w:val="24"/>
          <w:szCs w:val="24"/>
        </w:rPr>
        <w:t xml:space="preserve"> составляет менее 0,8.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невыполнении более 33 процентов показателей Государственной программы значение </w:t>
      </w:r>
      <w:r>
        <w:rPr>
          <w:sz w:val="24"/>
          <w:szCs w:val="24"/>
          <w:i/>
          <w:iCs/>
        </w:rPr>
        <w:t xml:space="preserve">Е</w:t>
      </w:r>
      <w:r>
        <w:rPr>
          <w:sz w:val="24"/>
          <w:szCs w:val="24"/>
        </w:rPr>
        <w:t xml:space="preserve"> уменьшается на 0,1.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значение </w:t>
      </w:r>
      <w:r>
        <w:rPr>
          <w:sz w:val="24"/>
          <w:szCs w:val="24"/>
          <w:i/>
          <w:iCs/>
        </w:rPr>
        <w:t xml:space="preserve">Е</w:t>
      </w:r>
      <w:r>
        <w:rPr>
          <w:sz w:val="24"/>
          <w:szCs w:val="24"/>
        </w:rPr>
        <w:t xml:space="preserve"> составляет 0,6 и ниже, реализация Государственной программы является неэффективной.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334" w:type="dxa"/>
        <w:gridCol w:w="1666" w:type="dxa"/>
      </w:tblGrid>
      <w:tblPr>
        <w:tblW w:w="5000" w:type="pct"/>
        <w:tblLayout w:type="autofit"/>
      </w:tblPr>
      <w:tr>
        <w:trPr/>
        <w:tc>
          <w:tcPr>
            <w:tcW w:w="333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66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Государственной программе</w:t>
            </w:r>
            <w:br/>
            <w:r>
              <w:rPr>
                <w:sz w:val="22"/>
                <w:szCs w:val="22"/>
              </w:rPr>
              <w:t xml:space="preserve">«Увековечение памяти</w:t>
            </w:r>
            <w:br/>
            <w:r>
              <w:rPr>
                <w:sz w:val="22"/>
                <w:szCs w:val="22"/>
              </w:rPr>
              <w:t xml:space="preserve">о погибших при защите</w:t>
            </w:r>
            <w:br/>
            <w:r>
              <w:rPr>
                <w:sz w:val="22"/>
                <w:szCs w:val="22"/>
              </w:rPr>
              <w:t xml:space="preserve">Отечества» на 2021–2025 годы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СВОДНЫЙ ЦЕЛЕВОЙ ПОКАЗАТЕЛЬ,</w:t>
      </w:r>
      <w:br/>
      <w:r>
        <w:rPr>
          <w:sz w:val="24"/>
          <w:szCs w:val="24"/>
          <w:b/>
          <w:bCs/>
        </w:rPr>
        <w:t xml:space="preserve">целевые показатели Государственной программы и их значения</w:t>
      </w:r>
    </w:p>
    <w:tbl>
      <w:tblGrid>
        <w:gridCol/>
        <w:gridCol/>
        <w:gridCol/>
        <w:gridCol w:w="438" w:type="dxa"/>
        <w:gridCol w:w="438" w:type="dxa"/>
        <w:gridCol w:w="438" w:type="dxa"/>
        <w:gridCol w:w="438" w:type="dxa"/>
        <w:gridCol w:w="434" w:type="dxa"/>
      </w:tblGrid>
      <w:tblPr>
        <w:tblW w:w="5000" w:type="pct"/>
        <w:tblLayout w:type="autofit"/>
      </w:tblPr>
      <w:tr>
        <w:trPr/>
        <w:tc>
          <w:tcPr>
            <w:tcW w:w="1322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показателя</w:t>
            </w:r>
          </w:p>
        </w:tc>
        <w:tc>
          <w:tcPr>
            <w:tcW w:w="952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Заказчик</w:t>
            </w:r>
          </w:p>
        </w:tc>
        <w:tc>
          <w:tcPr>
            <w:tcW w:w="540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Единица измерения</w:t>
            </w:r>
          </w:p>
        </w:tc>
        <w:tc>
          <w:tcPr>
            <w:tcW w:w="2186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5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Значения показателя по годам</w:t>
            </w:r>
          </w:p>
        </w:tc>
      </w:tr>
      <w:tr>
        <w:trPr/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43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2021</w:t>
            </w:r>
          </w:p>
        </w:tc>
        <w:tc>
          <w:tcPr>
            <w:tcW w:w="43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2022</w:t>
            </w:r>
          </w:p>
        </w:tc>
        <w:tc>
          <w:tcPr>
            <w:tcW w:w="43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2023</w:t>
            </w:r>
          </w:p>
        </w:tc>
        <w:tc>
          <w:tcPr>
            <w:tcW w:w="43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2024</w:t>
            </w:r>
          </w:p>
        </w:tc>
        <w:tc>
          <w:tcPr>
            <w:tcW w:w="434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2025</w:t>
            </w:r>
          </w:p>
        </w:tc>
      </w:tr>
      <w:tr>
        <w:trPr/>
        <w:tc>
          <w:tcPr>
            <w:tcW w:w="5000" w:type="pct"/>
            <w:vAlign w:val="top"/>
            <w:tcBorders>
              <w:top w:val="single" w:sz="5" w:color="000000"/>
            </w:tcBorders>
            <w:gridSpan w:val="8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Сводный целевой показатель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1. Доля погибших при защите Отечества и жертв войн, увековеченных в соответствии с законодательством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Минобороны, облисполкомы, Минский горисполком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процентов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35,1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35,4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35,6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35,9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36,1</w:t>
            </w:r>
          </w:p>
        </w:tc>
      </w:tr>
      <w:tr>
        <w:trPr/>
        <w:tc>
          <w:tcPr>
            <w:tcW w:w="5000" w:type="pct"/>
            <w:vAlign w:val="top"/>
            <w:gridSpan w:val="8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1. Государственный учет и содержание в надлежащем состоянии воинских захоронений и захоронений жертв войн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2. Увеличение доли воинских захоронений и захоронений жертв войн, относящихся к 1-й категории (в среднесрочной перспективе не требующих значительных вложений финансовых средств), в общем количестве захоронений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облисполкомы, Минский горисполком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процентов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69,4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71,6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73,8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76,9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79,1</w:t>
            </w:r>
          </w:p>
        </w:tc>
      </w:tr>
      <w:tr>
        <w:trPr/>
        <w:tc>
          <w:tcPr>
            <w:vAlign w:val="top"/>
            <w:vMerge w:val="continue"/>
          </w:tcPr>
          <w:p/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75,9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79,3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82,7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86,1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62,1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68,3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71,0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74,0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Гомельский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42,3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42,5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42,8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50,1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50,3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63,8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68,8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73,8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78,8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83,8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78,2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78,4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78,7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78,9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79,1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63,5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67,0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70,5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73,5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76,5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горисполком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3. Количество персональных данных о погибших, внесенных в паспорта воинских захоронений и захоронений жертв войн (на 2020 год – 529 000)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единиц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534 000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539 000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544 000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549 000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554 000</w:t>
            </w:r>
          </w:p>
        </w:tc>
      </w:tr>
      <w:tr>
        <w:trPr/>
        <w:tc>
          <w:tcPr>
            <w:tcW w:w="5000" w:type="pct"/>
            <w:vAlign w:val="top"/>
            <w:gridSpan w:val="8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2. Организация и проведение поисковой работы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4. Количество персональных данных о пропавших без вести и погибших за пределами современной территории Республики Беларусь, внесенных в автоматизированный банк данных «Книга Памяти Республики Беларусь» (на 2020 год – 342 000)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единиц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343 500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345 000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346 500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348 000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349 500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5. Количество неучтенных воинских захоронений и захоронений жертв войн, обнаруженных по результатам полевых поисковых работ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85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6. Количество останков погибших при защите Отечества и жертв войн, обнаруженных по результатам проведения полевых поисковых работ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1200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1300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1400</w:t>
            </w:r>
          </w:p>
        </w:tc>
      </w:tr>
      <w:tr>
        <w:trPr/>
        <w:tc>
          <w:tcPr>
            <w:tcW w:w="5000" w:type="pct"/>
            <w:vAlign w:val="top"/>
            <w:gridSpan w:val="8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3. Предоставление свободного доступа к информации о погибших при защите Отечества и жертвах войн, местах их захоронения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7. Доля районных автоматизированных банков данных «Книга Памяти», размещенных в глобальной компьютерной сети Интернет (в общем количестве районов)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облисполкомы, Минский горисполком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процентов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76,3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84,2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89,8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94,8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99,3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75,0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95,0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Гомельский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83,3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60,8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78,2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86,9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95,6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</w:tr>
      <w:tr>
        <w:trPr/>
        <w:tc>
          <w:tcPr>
            <w:tcW w:w="132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540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91,0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92,0</w:t>
            </w:r>
          </w:p>
        </w:tc>
        <w:tc>
          <w:tcPr>
            <w:tcW w:w="43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93,0</w:t>
            </w:r>
          </w:p>
        </w:tc>
        <w:tc>
          <w:tcPr>
            <w:tcW w:w="434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95,0</w:t>
            </w:r>
          </w:p>
        </w:tc>
      </w:tr>
      <w:tr>
        <w:trPr/>
        <w:tc>
          <w:tcPr>
            <w:tcW w:w="1322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52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горисполком</w:t>
            </w:r>
          </w:p>
        </w:tc>
        <w:tc>
          <w:tcPr>
            <w:tcW w:w="540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43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  <w:tc>
          <w:tcPr>
            <w:tcW w:w="434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100,0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334" w:type="dxa"/>
        <w:gridCol w:w="1666" w:type="dxa"/>
      </w:tblGrid>
      <w:tblPr>
        <w:tblW w:w="5000" w:type="pct"/>
        <w:tblLayout w:type="autofit"/>
      </w:tblPr>
      <w:tr>
        <w:trPr/>
        <w:tc>
          <w:tcPr>
            <w:tcW w:w="333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66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Государственной программе</w:t>
            </w:r>
            <w:br/>
            <w:r>
              <w:rPr>
                <w:sz w:val="22"/>
                <w:szCs w:val="22"/>
              </w:rPr>
              <w:t xml:space="preserve">«Увековечение памяти</w:t>
            </w:r>
            <w:br/>
            <w:r>
              <w:rPr>
                <w:sz w:val="22"/>
                <w:szCs w:val="22"/>
              </w:rPr>
              <w:t xml:space="preserve">о погибших при защите</w:t>
            </w:r>
            <w:br/>
            <w:r>
              <w:rPr>
                <w:sz w:val="22"/>
                <w:szCs w:val="22"/>
              </w:rPr>
              <w:t xml:space="preserve">Отечества» на 2021–2025 годы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КОМПЛЕКС МЕРОПРИЯТИЙ</w:t>
      </w:r>
      <w:br/>
      <w:r>
        <w:rPr>
          <w:sz w:val="24"/>
          <w:szCs w:val="24"/>
          <w:b/>
          <w:bCs/>
        </w:rPr>
        <w:t xml:space="preserve">Государственной программы</w:t>
      </w:r>
    </w:p>
    <w:tbl>
      <w:tblGrid>
        <w:gridCol w:w="2099" w:type="dxa"/>
        <w:gridCol w:w="498" w:type="dxa"/>
        <w:gridCol w:w="1111" w:type="dxa"/>
        <w:gridCol w:w="1292" w:type="dxa"/>
      </w:tblGrid>
      <w:tblPr>
        <w:tblW w:w="5000" w:type="pct"/>
        <w:tblLayout w:type="autofit"/>
      </w:tblPr>
      <w:tr>
        <w:trPr/>
        <w:tc>
          <w:tcPr>
            <w:tcW w:w="2099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мероприятия</w:t>
            </w:r>
          </w:p>
        </w:tc>
        <w:tc>
          <w:tcPr>
            <w:tcW w:w="49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Сроки реализации, годы</w:t>
            </w:r>
          </w:p>
        </w:tc>
        <w:tc>
          <w:tcPr>
            <w:tcW w:w="111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Заказчики</w:t>
            </w:r>
          </w:p>
        </w:tc>
        <w:tc>
          <w:tcPr>
            <w:tcW w:w="129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2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Источники финансирования</w:t>
            </w:r>
          </w:p>
        </w:tc>
      </w:tr>
      <w:tr>
        <w:trPr/>
        <w:tc>
          <w:tcPr>
            <w:tcW w:w="5000" w:type="pct"/>
            <w:vAlign w:val="top"/>
            <w:tcBorders>
              <w:top w:val="single" w:sz="5" w:color="000000"/>
            </w:tcBorders>
            <w:gridSpan w:val="6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1. Государственный учет и содержание в надлежащем состоянии воинских захоронений и захоронений жертв войн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1. Обустройство, содержание, текущий и капитальный ремонт воинских захоронений и захоронений жертв войн, мемориальных комплексов, мест боевой и воинской славы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2021, 2022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облисполкомы, Минский горисполком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vertAlign w:val="superscript"/>
              </w:rPr>
              <w:t xml:space="preserve">1</w:t>
            </w:r>
            <w:r>
              <w:rPr>
                <w:sz w:val="20"/>
                <w:szCs w:val="20"/>
              </w:rPr>
              <w:t xml:space="preserve">. Обустройство, содержание, текущий и капитальный ремонт, реконструкция воинских захоронений и захоронений жертв войн, мемориальных комплексов, мест боевой и воинской славы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2023–2025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облисполкомы, Минский горисполком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2. Создание и установка произведений монументального искусства, посвященных событиям военной истории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2021, 2022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vertAlign w:val="superscript"/>
              </w:rPr>
              <w:t xml:space="preserve">1</w:t>
            </w:r>
            <w:r>
              <w:rPr>
                <w:sz w:val="20"/>
                <w:szCs w:val="20"/>
              </w:rPr>
              <w:t xml:space="preserve">. Создание и установка произведений монументального искусства, посвященных событиям военной истории, их текущий и капитальный ремонт, реконструкция</w:t>
            </w:r>
          </w:p>
        </w:tc>
        <w:tc>
          <w:tcPr>
            <w:tcW w:w="498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2023–2025</w:t>
            </w:r>
          </w:p>
        </w:tc>
        <w:tc>
          <w:tcPr>
            <w:tcW w:w="1111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облисполкомы, Минский горисполком</w:t>
            </w:r>
          </w:p>
        </w:tc>
        <w:tc>
          <w:tcPr>
            <w:tcW w:w="1292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</w:tr>
      <w:tr>
        <w:trPr/>
        <w:tc>
          <w:tcPr>
            <w:tcW w:w="5000" w:type="pct"/>
            <w:vAlign w:val="top"/>
            <w:gridSpan w:val="6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2. Организация и проведение поисковой работы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3. Проведение архивно-исследовательских работ в архивных, музейных и иных учреждениях Республики Беларусь в целях сбора (уточнения) сведений о местах нахождения неучтенных воинских захоронений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Минобороны, облисполкомы, Минский горисполком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бюджет, местные бюджеты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4. Проведение поисковой работы по установлению данных о погибших узниках лагеря и их сохранение в электронной «Книге Памяти жертв лагеря смерти «Тростенец»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горисполком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местный бюджет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5. Проведение организационных, военно-патриотических и иных мероприятий, направленных на популяризацию поисковой работы, привлечение к ней членов общественных объединений и граждан, в том числе: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облисполкомы, Минский горисполком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5.1. организация и проведение областных семинаров по ведению поисковой работы с участием представителей государственных органов, военных комиссариатов, представителей поисковых общественных объединений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Витебский, Гомельский, Могилевский облисполкомы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5.2. реализация патриотического проекта «Звездные походы»: привлечение подрастающего поколения к поисково-исследовательской работе, изучению памятных мест и включение их в туристическо-экскурсионные маршруты, благоустройству воинских захоронений и захоронений жертв войн, памятников военной истории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горисполком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местный бюджет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6. Изготовление и приобретение сувенирной, наградной продукции, посвященной памятным датам военной истории, увековечению погибших при защите Отечества и сохранению памяти о жертвах войн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2021, 2022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Гомельский, Могилевский облисполкомы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7. Подготовка и издание полиграфической продукции, связанной с событиями военной истории на территории области, поисковой работой, в том числе: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местный бюджет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7.1. научно-популярная книга «Освобождение: от Хотимска до Могилева. Ч. 2. Дополненная»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2021, 2022, 2024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7.2. научно-популярная книга «1941-й, пылающие рубежи Днепра и Сожа. Ч. 2»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2021, 2022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7.3. брошюра «Могилевский поисковый вестник»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8. Организация и проведение полевых поисковых работ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9. Участие в мероприятиях гражданско-патриотического воспитания, проводимых местными исполнительными и распорядительными органами, государственными организациями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 Приобретение оргтехники, оборудования и расходных материалов для организации и проведения полевых поисковых работ, в том числе: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10.1. глубинные миноискатели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2022, 2025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10.2. пинпоинтеры (мини-металлодетекторы)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10.3. приборы спутниковой навигации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2021, 2023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10.4. ноутбуки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2021, 2022, 2024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10.5. принтеры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2021–2024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10.6. мобильные телефоны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2022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10.7. пакеты полиэтиленовые, совки, кисти малярные, лента оградительная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10.8. маски хирургические, репелленты, средства для дезинфекции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11. Подписка на специализированные периодические издания, приобретение специализированной литературы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12. Изготовление нагрудного знака «За актыўны пошук»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13. Участие в финансировании розыска военнослужащих, без вести пропавших в период войны в Афганистане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2021, 2022, 2024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14. Захоронение останков погибших при защите Отечества и жертв войн, обнаруженных в ходе проведения полевых поисковых работ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облисполкомы, Минский горисполком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</w:tr>
      <w:tr>
        <w:trPr/>
        <w:tc>
          <w:tcPr>
            <w:tcW w:w="5000" w:type="pct"/>
            <w:vAlign w:val="top"/>
            <w:gridSpan w:val="6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3. Предоставление свободного доступа к информации о погибших при защите Отечества и жертвах войн, местах их захоронения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15. Сопровождение автоматизированного банка данных «Книга Памяти Республики Беларусь» с использованием глобальной компьютерной сети Интернет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2021–2025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</w:t>
            </w:r>
          </w:p>
        </w:tc>
      </w:tr>
      <w:tr>
        <w:trPr/>
        <w:tc>
          <w:tcPr>
            <w:tcW w:w="2099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16. Приобретение оргтехники, оборудования и программного обеспечения для организации деятельности областного центра по увековечению погибших при защите Отечества в учреждении культуры «Витебский областной музей Героя Советского Союза М.Ф.Шмырева»</w:t>
            </w:r>
          </w:p>
        </w:tc>
        <w:tc>
          <w:tcPr>
            <w:tcW w:w="516" w:type="pct"/>
            <w:vAlign w:val="top"/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1119" w:type="pct"/>
            <w:vAlign w:val="top"/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126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местный бюджет</w:t>
            </w:r>
          </w:p>
        </w:tc>
      </w:tr>
      <w:tr>
        <w:trPr/>
        <w:tc>
          <w:tcPr>
            <w:tcW w:w="2099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17. Проведение научно-практической конференции «Гомельщина в контексте исторических процессов и событий Великой Отечественной войны 1941–1945 годов» на базе учреждения «Гомельский областной музей военной славы»</w:t>
            </w:r>
          </w:p>
        </w:tc>
        <w:tc>
          <w:tcPr>
            <w:tcW w:w="516" w:type="pct"/>
            <w:vAlign w:val="top"/>
            <w:tcBorders>
              <w:bottom w:val="single" w:sz="5" w:color="000000"/>
            </w:tcBorders>
            <w:gridSpan w:val="2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2021–2023</w:t>
            </w:r>
          </w:p>
        </w:tc>
        <w:tc>
          <w:tcPr>
            <w:tcW w:w="1119" w:type="pct"/>
            <w:vAlign w:val="top"/>
            <w:tcBorders>
              <w:bottom w:val="single" w:sz="5" w:color="000000"/>
            </w:tcBorders>
            <w:gridSpan w:val="2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Гомельский облисполком</w:t>
            </w:r>
          </w:p>
        </w:tc>
        <w:tc>
          <w:tcPr>
            <w:tcW w:w="126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673" w:type="dxa"/>
        <w:gridCol w:w="1327" w:type="dxa"/>
      </w:tblGrid>
      <w:tblPr>
        <w:tblW w:w="5000" w:type="pct"/>
        <w:tblLayout w:type="autofit"/>
      </w:tblPr>
      <w:tr>
        <w:trPr/>
        <w:tc>
          <w:tcPr>
            <w:tcW w:w="3673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327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3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Государственной программе</w:t>
            </w:r>
            <w:br/>
            <w:r>
              <w:rPr>
                <w:sz w:val="22"/>
                <w:szCs w:val="22"/>
              </w:rPr>
              <w:t xml:space="preserve">«Увековечение памяти</w:t>
            </w:r>
            <w:br/>
            <w:r>
              <w:rPr>
                <w:sz w:val="22"/>
                <w:szCs w:val="22"/>
              </w:rPr>
              <w:t xml:space="preserve">о погибших при защите</w:t>
            </w:r>
            <w:br/>
            <w:r>
              <w:rPr>
                <w:sz w:val="22"/>
                <w:szCs w:val="22"/>
              </w:rPr>
              <w:t xml:space="preserve">Отечества» на 2021–2025 годы</w:t>
            </w:r>
            <w:br/>
            <w:r>
              <w:rPr>
                <w:sz w:val="22"/>
                <w:szCs w:val="22"/>
              </w:rPr>
              <w:t xml:space="preserve">(в редакции постановления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10.12.2024 № 943)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ОБЪЕМЫ И ИСТОЧНИКИ</w:t>
      </w:r>
      <w:br/>
      <w:r>
        <w:rPr>
          <w:sz w:val="24"/>
          <w:szCs w:val="24"/>
          <w:b/>
          <w:bCs/>
        </w:rPr>
        <w:t xml:space="preserve">финансирования комплекса мероприятий Государственной программы</w:t>
      </w:r>
    </w:p>
    <w:tbl>
      <w:tblGrid>
        <w:gridCol/>
        <w:gridCol/>
        <w:gridCol/>
        <w:gridCol w:w="493" w:type="dxa"/>
        <w:gridCol w:w="493" w:type="dxa"/>
        <w:gridCol w:w="493" w:type="dxa"/>
        <w:gridCol w:w="493" w:type="dxa"/>
        <w:gridCol w:w="492" w:type="dxa"/>
      </w:tblGrid>
      <w:tblPr>
        <w:tblW w:w="5000" w:type="pct"/>
        <w:tblLayout w:type="autofit"/>
      </w:tblPr>
      <w:tr>
        <w:trPr/>
        <w:tc>
          <w:tcPr>
            <w:tcW w:w="1093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показателя</w:t>
            </w:r>
          </w:p>
        </w:tc>
        <w:tc>
          <w:tcPr>
            <w:tcW w:w="78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Заказчик</w:t>
            </w:r>
          </w:p>
        </w:tc>
        <w:tc>
          <w:tcPr>
            <w:tcW w:w="3120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6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Объемы финансирования (в текущих ценах, рублей)</w:t>
            </w:r>
          </w:p>
        </w:tc>
      </w:tr>
      <w:tr>
        <w:trPr/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656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всего</w:t>
            </w:r>
          </w:p>
        </w:tc>
        <w:tc>
          <w:tcPr>
            <w:tcW w:w="2464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gridSpan w:val="5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 том числе по годам</w:t>
            </w:r>
          </w:p>
        </w:tc>
      </w:tr>
      <w:tr>
        <w:trPr/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continue"/>
          </w:tcPr>
          <w:p/>
        </w:tc>
        <w:tc>
          <w:tcPr>
            <w:tcW w:w="49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2021 год</w:t>
            </w:r>
          </w:p>
        </w:tc>
        <w:tc>
          <w:tcPr>
            <w:tcW w:w="49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2022 год</w:t>
            </w:r>
          </w:p>
        </w:tc>
        <w:tc>
          <w:tcPr>
            <w:tcW w:w="49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2023 год</w:t>
            </w:r>
          </w:p>
        </w:tc>
        <w:tc>
          <w:tcPr>
            <w:tcW w:w="493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2024 год</w:t>
            </w:r>
          </w:p>
        </w:tc>
        <w:tc>
          <w:tcPr>
            <w:tcW w:w="492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2025 год</w:t>
            </w:r>
          </w:p>
        </w:tc>
      </w:tr>
      <w:tr>
        <w:trPr/>
        <w:tc>
          <w:tcPr>
            <w:tcW w:w="5000" w:type="pct"/>
            <w:vAlign w:val="top"/>
            <w:tcBorders>
              <w:top w:val="single" w:sz="5" w:color="000000"/>
            </w:tcBorders>
            <w:gridSpan w:val="8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1. Государственный учет и содержание в надлежащем состоянии воинских захоронений и захоронений жертв войн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13 256 083,8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2 087 151,0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1 679 761,0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3 852 219,8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3 882 199,0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1 754 753,0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12 973 868,8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2 023 651,0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1 615 331,0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3 786 964,8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3 861 039,0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1 686 883,0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1 777 800,4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347 661,0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326 011,0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407 277,4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484 053,0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212 798,0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2 164 037,0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300 500,0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308 450,0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568 719,0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646 068,0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340 300,0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Гомельский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509 749,2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127 844,0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111 905,2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2 429 070,1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538 000,0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285 250,0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432 496,4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834 923,7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338 400,0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1 155 000,3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214 650,0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147 150,0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324 951,0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239 599,3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228 650,0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4 789 211,8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513 840,0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433 470,0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1 895 667,0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1 509 489,8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436 735,0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горисполком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149 000,0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19 000,0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35 000,0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850.89363829521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из них: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850.89363829521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средства на финансирование капитальных вложений,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2 825 986,3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263 500,0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163 052,0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1 426 539,0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839 793,3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133 102,0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1133.858267716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434 345,0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169 000,0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138 752,0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84 289,0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22 002,0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20 302,0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46 400,0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4 100,0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4 250,0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29 550,0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4 500,0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272 000,0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272 000,0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136 000,0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1 937 241,3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10 200,0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1 300 000,0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516 241,3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65 300,0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собственные средства исполнителей,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171 500,0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103 500,0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68 000,0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спонсорская помощь,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110 715,0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25 800,0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26 730,0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27 555,0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30 170,0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2 265,0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530,0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570,0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108 450,0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25 450,0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26 200,0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27 200,0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29 600,0</w:t>
            </w:r>
          </w:p>
        </w:tc>
      </w:tr>
      <w:tr>
        <w:trPr/>
        <w:tc>
          <w:tcPr>
            <w:tcW w:w="5000" w:type="pct"/>
            <w:vAlign w:val="top"/>
            <w:gridSpan w:val="8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2. Организация и проведение поисковой работы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468 865,7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88 800,0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78 886,0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98 385,4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110 236,3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92 558,0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223 776,0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46 100,0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42 370,0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39 666,0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47 270,0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48 370,0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из него средства на финансирование капитальных вложений,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25 800,0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11 800,0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227 089,7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39 200,0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32 516,0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54 219,4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62 966,3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38 188,0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9 699,0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2 666,0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1 735,0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1 810,0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1 888,0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1 550,0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2 650,0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3 100,0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5 600,0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3 100,0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48 800,0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10 300,0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107 420,0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13 970,0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33 050,0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21 200,0</w:t>
            </w:r>
          </w:p>
        </w:tc>
      </w:tr>
      <w:tr>
        <w:trPr/>
        <w:tc>
          <w:tcPr>
            <w:vAlign w:val="top"/>
            <w:vMerge w:val="continue"/>
          </w:tcPr>
          <w:p/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горисполком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36 170,7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25 314,4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9 856,3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спонсорская помощь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6 000,0</w:t>
            </w:r>
          </w:p>
        </w:tc>
      </w:tr>
      <w:tr>
        <w:trPr/>
        <w:tc>
          <w:tcPr>
            <w:tcW w:w="5000" w:type="pct"/>
            <w:vAlign w:val="top"/>
            <w:gridSpan w:val="8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Задача 3. Предоставление свободного доступа к информации о погибших при защите Отечества и жертвах войн, местах их захоронения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67 673,0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17 640,0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20 250,0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9 253,0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10 260,0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10 270,0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1 273,0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253,0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270,0</w:t>
            </w:r>
          </w:p>
        </w:tc>
      </w:tr>
      <w:tr>
        <w:trPr/>
        <w:tc>
          <w:tcPr>
            <w:tcW w:w="109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</w:t>
            </w:r>
          </w:p>
        </w:tc>
        <w:tc>
          <w:tcPr>
            <w:tcW w:w="787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65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66 400,0</w:t>
            </w:r>
          </w:p>
        </w:tc>
        <w:tc>
          <w:tcPr>
            <w:tcW w:w="49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17 400,0</w:t>
            </w:r>
          </w:p>
        </w:tc>
        <w:tc>
          <w:tcPr>
            <w:tcW w:w="49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20 000,0</w:t>
            </w:r>
          </w:p>
        </w:tc>
        <w:tc>
          <w:tcPr>
            <w:tcW w:w="49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9 000,0</w:t>
            </w:r>
          </w:p>
        </w:tc>
        <w:tc>
          <w:tcPr>
            <w:tcW w:w="493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</w:t>
            </w:r>
          </w:p>
        </w:tc>
        <w:tc>
          <w:tcPr>
            <w:tcW w:w="492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</w:t>
            </w:r>
          </w:p>
        </w:tc>
      </w:tr>
      <w:tr>
        <w:trPr/>
        <w:tc>
          <w:tcPr>
            <w:tcW w:w="109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ind w:left="283.9645044369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Итого по Государственной программе</w:t>
            </w:r>
          </w:p>
        </w:tc>
        <w:tc>
          <w:tcPr>
            <w:tcW w:w="787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13 792 622,5</w:t>
            </w:r>
          </w:p>
        </w:tc>
        <w:tc>
          <w:tcPr>
            <w:tcW w:w="49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2 193 591,0</w:t>
            </w:r>
          </w:p>
        </w:tc>
        <w:tc>
          <w:tcPr>
            <w:tcW w:w="49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1 778 897,0</w:t>
            </w:r>
          </w:p>
        </w:tc>
        <w:tc>
          <w:tcPr>
            <w:tcW w:w="49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3 959 858,2</w:t>
            </w:r>
          </w:p>
        </w:tc>
        <w:tc>
          <w:tcPr>
            <w:tcW w:w="493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4 002 695,3</w:t>
            </w:r>
          </w:p>
        </w:tc>
        <w:tc>
          <w:tcPr>
            <w:tcW w:w="492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1 857 581,0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республиканский бюджет,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Минобороны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225 049,0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46 340,0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42 620,0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39 919,0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47 530,0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48 640,0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850.89363829521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из него средства на финансирование капитальных вложений,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»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25 800,0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11 800,0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3 000,0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местные бюджеты,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13 267 358,5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2 080 251,0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1 667 847,0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3 850 184,2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3 934 005,3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1 735 071,0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850.89363829521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1 787 499,4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349 261,0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328 677,0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409 012,4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485 863,0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214 686,0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2 239 437,0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319 400,0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330 000,0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579 319,0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658 718,0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352 000,0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Гомельский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509 749,2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127 844,0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111 905,2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90 000,0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2 445 070,1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540 100,0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288 350,0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434 596,4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840 523,7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341 500,0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1 203 800,3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224 150,0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156 650,0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334 451,0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249 599,3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238 950,0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4 896 631,8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537 340,0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449 170,0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1 909 647,0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1 542 539,8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457 935,0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горисполком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185 170,7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55 314,4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44 856,3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1133.858267716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из них средства на финансирование капитальных вложений,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2 825 986,3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263 500,0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163 052,0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1 426 539,0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839 793,3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133 102,0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1417.8227721535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434 345,0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169 000,0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138 752,0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84 289,0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22 002,0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20 302,0</w:t>
            </w:r>
          </w:p>
        </w:tc>
      </w:tr>
      <w:tr>
        <w:trPr/>
        <w:tc>
          <w:tcPr>
            <w:vAlign w:val="top"/>
            <w:vMerge w:val="continue"/>
          </w:tcPr>
          <w:p/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Витебский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46 400,0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4 100,0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4 250,0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29 550,0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4 500,0</w:t>
            </w:r>
          </w:p>
        </w:tc>
      </w:tr>
      <w:tr>
        <w:trPr/>
        <w:tc>
          <w:tcPr>
            <w:vAlign w:val="top"/>
            <w:vMerge w:val="continue"/>
          </w:tcPr>
          <w:p/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Гродненский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272 000,0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272 000,0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</w:tr>
      <w:tr>
        <w:trPr/>
        <w:tc>
          <w:tcPr>
            <w:vAlign w:val="top"/>
            <w:vMerge w:val="continue"/>
          </w:tcPr>
          <w:p/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136 000,0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38 000,0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43 000,0</w:t>
            </w:r>
          </w:p>
        </w:tc>
      </w:tr>
      <w:tr>
        <w:trPr/>
        <w:tc>
          <w:tcPr>
            <w:vAlign w:val="top"/>
            <w:vMerge w:val="continue"/>
          </w:tcPr>
          <w:p/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Могилевский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1 937 241,3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10 200,0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1 300 000,0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516 241,3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65 300,0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собственные средства исполнителей,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171 500,0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37 700,0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850.89363829521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103 500,0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20 700,0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68 000,0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17 000,0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566.92913385827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спонсорская помощь, всего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128 715,0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29 300,0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30 730,0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32 055,0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36 170,0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ind w:left="850.89363829521" w:right="0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 том числе: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Брестский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2 265,0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530,0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355,0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460,0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570,0</w:t>
            </w:r>
          </w:p>
        </w:tc>
      </w:tr>
      <w:tr>
        <w:trPr/>
        <w:tc>
          <w:tcPr>
            <w:tcW w:w="1093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87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Минский облисполком</w:t>
            </w:r>
          </w:p>
        </w:tc>
        <w:tc>
          <w:tcPr>
            <w:tcW w:w="656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126 450,0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28 950,0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30 200,0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31 700,0</w:t>
            </w:r>
          </w:p>
        </w:tc>
        <w:tc>
          <w:tcPr>
            <w:tcW w:w="493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–</w:t>
            </w:r>
          </w:p>
        </w:tc>
        <w:tc>
          <w:tcPr>
            <w:tcW w:w="492" w:type="pct"/>
            <w:vAlign w:val="top"/>
            <w:vMerge w:val="restart"/>
          </w:tcPr>
          <w:p>
            <w:pPr>
              <w:jc w:val="center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35 600,0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2025-08-20T18:35:15+03:00</dcterms:created>
  <dcterms:modified xsi:type="dcterms:W3CDTF">2025-08-20T18:35:15+03:00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